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973"/>
        <w:gridCol w:w="705"/>
        <w:gridCol w:w="839"/>
        <w:gridCol w:w="945"/>
        <w:gridCol w:w="855"/>
        <w:gridCol w:w="1185"/>
        <w:gridCol w:w="870"/>
        <w:gridCol w:w="810"/>
        <w:gridCol w:w="5207"/>
        <w:gridCol w:w="865"/>
        <w:gridCol w:w="1616"/>
      </w:tblGrid>
      <w:tr w14:paraId="7FE49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1AA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附表1</w:t>
            </w:r>
          </w:p>
          <w:p w14:paraId="6377E1E2"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漳州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市天一人力资源服务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集团有限公司招聘劳务人员岗位条件一览表</w:t>
            </w:r>
          </w:p>
        </w:tc>
      </w:tr>
      <w:tr w14:paraId="58DBF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6E7C0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378BB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17E2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24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EB4E2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岗位条件</w:t>
            </w:r>
          </w:p>
        </w:tc>
        <w:tc>
          <w:tcPr>
            <w:tcW w:w="2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98C0D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考试</w:t>
            </w:r>
          </w:p>
          <w:p w14:paraId="78D14AB9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方式</w:t>
            </w:r>
          </w:p>
        </w:tc>
        <w:tc>
          <w:tcPr>
            <w:tcW w:w="2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9041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薪酬待遇</w:t>
            </w:r>
          </w:p>
        </w:tc>
        <w:tc>
          <w:tcPr>
            <w:tcW w:w="17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4E55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2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FE38F">
            <w:pPr>
              <w:widowControl/>
              <w:jc w:val="center"/>
              <w:rPr>
                <w:rFonts w:hint="default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工作  地点</w:t>
            </w:r>
          </w:p>
        </w:tc>
        <w:tc>
          <w:tcPr>
            <w:tcW w:w="5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4F5D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联系电话、 电子邮箱</w:t>
            </w:r>
          </w:p>
        </w:tc>
      </w:tr>
      <w:tr w14:paraId="317BE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8E460"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B16BD"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58A23"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C5109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10BD1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年 龄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0AF63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学 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E84BF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专 业</w:t>
            </w:r>
          </w:p>
        </w:tc>
        <w:tc>
          <w:tcPr>
            <w:tcW w:w="2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92DDB"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276D7"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51465"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5E1A"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3C70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323DB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505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A425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业务员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64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87B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BA7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周岁</w:t>
            </w:r>
          </w:p>
          <w:p w14:paraId="545C5F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及以下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9492A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本科以上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92C50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不限</w:t>
            </w:r>
          </w:p>
          <w:p w14:paraId="68FE9A78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学历</w:t>
            </w:r>
          </w:p>
          <w:p w14:paraId="49156496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学位需相匹配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463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面试</w:t>
            </w: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582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面议</w:t>
            </w:r>
          </w:p>
        </w:tc>
        <w:tc>
          <w:tcPr>
            <w:tcW w:w="1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401B0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1、热爱工作，遵章守纪，工作勤奋踏实，有团队合作精神。</w:t>
            </w:r>
          </w:p>
          <w:p w14:paraId="42CAADF7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2、身体健康，品貌端正，无犯罪记录。</w:t>
            </w:r>
          </w:p>
          <w:p w14:paraId="29757FAA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3、需有医药类、电商互联网类相关工作经验1年以上，有活动策划、执行等工作经验者优先。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9067C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高新区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526F3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0596-2138265</w:t>
            </w:r>
          </w:p>
          <w:p w14:paraId="619CE4DB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zztyrlzygs@163.com</w:t>
            </w:r>
          </w:p>
        </w:tc>
      </w:tr>
      <w:tr w14:paraId="004EF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EE1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1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65CA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售后</w:t>
            </w:r>
          </w:p>
          <w:p w14:paraId="7F35E45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客服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8D2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D69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5DC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周岁</w:t>
            </w:r>
          </w:p>
          <w:p w14:paraId="724B57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及以下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23E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大专以上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2C404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药学类、</w:t>
            </w:r>
          </w:p>
          <w:p w14:paraId="54912D90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中药学类、化工与制药类、卫生管理类、医学技术类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DD2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面试</w:t>
            </w: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F46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面议</w:t>
            </w:r>
          </w:p>
        </w:tc>
        <w:tc>
          <w:tcPr>
            <w:tcW w:w="1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3289A3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1、热爱工作，遵章守纪，工作勤奋踏实，有团队合作精神。</w:t>
            </w:r>
          </w:p>
          <w:p w14:paraId="5E720414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2、身体健康，品貌端正，无犯罪记录。</w:t>
            </w:r>
          </w:p>
          <w:p w14:paraId="34C2828A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3、（中）药学专业优先、具备良好的沟通表达与协调应变能力。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28184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高新区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F8716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0596-2138265</w:t>
            </w:r>
          </w:p>
          <w:p w14:paraId="6EF39E35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zztyrlzygs@163.com</w:t>
            </w:r>
          </w:p>
        </w:tc>
      </w:tr>
      <w:tr w14:paraId="0006B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8C7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A481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法务</w:t>
            </w:r>
          </w:p>
          <w:p w14:paraId="52BEC9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专员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B21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7A9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49A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周岁</w:t>
            </w:r>
          </w:p>
          <w:p w14:paraId="69398F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及以下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5DBF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本科以上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585C3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不限</w:t>
            </w:r>
          </w:p>
          <w:p w14:paraId="037A59EC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学历</w:t>
            </w:r>
          </w:p>
          <w:p w14:paraId="080B18A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学位需相匹配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4497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8B1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面议</w:t>
            </w:r>
          </w:p>
        </w:tc>
        <w:tc>
          <w:tcPr>
            <w:tcW w:w="1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3FC8C1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1、热爱工作，遵章守纪，工作勤奋踏实，有团队合作精神。</w:t>
            </w:r>
          </w:p>
          <w:p w14:paraId="556C0A69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2、身体健康，品貌端正，无犯罪记录。</w:t>
            </w:r>
          </w:p>
          <w:p w14:paraId="3DDF95FD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3、需有医药类、电商互联网类相关工作经验1年以上，有活动策划、执行等工作经验者优先。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87BB5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高新区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F835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0596-2138265</w:t>
            </w:r>
          </w:p>
          <w:p w14:paraId="7C0FC0CC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zztyrlzygs@163.com</w:t>
            </w:r>
          </w:p>
        </w:tc>
      </w:tr>
      <w:tr w14:paraId="2FC7B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8F9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5C7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讲解员（闽南语）</w:t>
            </w:r>
          </w:p>
        </w:tc>
        <w:tc>
          <w:tcPr>
            <w:tcW w:w="2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034F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365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CD4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周岁</w:t>
            </w:r>
          </w:p>
          <w:p w14:paraId="65990F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及以下</w:t>
            </w: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B18A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大专以上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DD6C1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不限</w:t>
            </w:r>
          </w:p>
          <w:p w14:paraId="5AA6CC28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学历</w:t>
            </w:r>
          </w:p>
          <w:p w14:paraId="753FD4F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学位需相匹配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199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C34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面议</w:t>
            </w:r>
          </w:p>
        </w:tc>
        <w:tc>
          <w:tcPr>
            <w:tcW w:w="1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D4327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1、女性身高1.62-1.68米，男性身高不低于1.70米，形象气质良好。</w:t>
            </w:r>
          </w:p>
          <w:p w14:paraId="4AA131E2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2、能熟练使用闽南语进行交流讲解。</w:t>
            </w:r>
          </w:p>
          <w:p w14:paraId="50546796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3、本科及以上学历优先，有从事讲解服务等相关工作经验者优先。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71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高新区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8DEE4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0596-2138265</w:t>
            </w:r>
          </w:p>
          <w:p w14:paraId="7037644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zztyrlzygs@163.com</w:t>
            </w:r>
          </w:p>
        </w:tc>
      </w:tr>
      <w:tr w14:paraId="5D5B0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A9831">
            <w:pPr>
              <w:widowControl/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020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法律  专员</w:t>
            </w:r>
          </w:p>
        </w:tc>
        <w:tc>
          <w:tcPr>
            <w:tcW w:w="2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D9DF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018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E85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周岁</w:t>
            </w:r>
          </w:p>
          <w:p w14:paraId="76A332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及以下</w:t>
            </w: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5021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本科以上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9D668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国际经济法方向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855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6F6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面议</w:t>
            </w:r>
          </w:p>
        </w:tc>
        <w:tc>
          <w:tcPr>
            <w:tcW w:w="1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7F0C9D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1、有3年以上律师事务所、仲裁机构、知识产权机构、检察院、法院等工作经验，熟悉经济与投资贸易领域的国内外法律规定。</w:t>
            </w:r>
          </w:p>
          <w:p w14:paraId="154611C1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2、持有中国律师执业资格。</w:t>
            </w:r>
          </w:p>
          <w:p w14:paraId="3B58F129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3、良好的沟通能力和组织、协调、分析判断能力。</w:t>
            </w:r>
          </w:p>
          <w:p w14:paraId="653A325B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4、有高度的责任心，出色的协调沟通能力和管理能力，具备扎实文字功底。</w:t>
            </w:r>
          </w:p>
          <w:p w14:paraId="7CECEAC9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5、熟练使用英语，具有大学英语六级、全国国际商务英语中级或取得同等资质者优先。</w:t>
            </w:r>
          </w:p>
          <w:p w14:paraId="45924FFE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6、具有菲律宾工作经验、生活经历者优先考虑。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CE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高新区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5FD7A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0596-2138265</w:t>
            </w:r>
          </w:p>
          <w:p w14:paraId="7F12681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zztyrlzygs@163.com</w:t>
            </w:r>
          </w:p>
        </w:tc>
      </w:tr>
      <w:tr w14:paraId="084B3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1" w:hRule="atLeast"/>
        </w:trPr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1227A">
            <w:pPr>
              <w:widowControl/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461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国际贸易专员</w:t>
            </w:r>
          </w:p>
        </w:tc>
        <w:tc>
          <w:tcPr>
            <w:tcW w:w="2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5D8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EB8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66B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周岁</w:t>
            </w:r>
          </w:p>
          <w:p w14:paraId="73C7C8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及以下</w:t>
            </w: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39A4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本科以上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5230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国际贸易、英语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B84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BE2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面议</w:t>
            </w:r>
          </w:p>
        </w:tc>
        <w:tc>
          <w:tcPr>
            <w:tcW w:w="1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D49F7F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1、三年以上大中型外贸公司或供应链、物流公司工作经验，有一定的海关业务和国际贸易实务工作经验，熟悉进出口业务程序，熟悉进出口贸易政策和国际惯例等的有关规定。</w:t>
            </w:r>
          </w:p>
          <w:p w14:paraId="24FECC90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2、熟悉国家对外贸易方针和监管政策。</w:t>
            </w:r>
          </w:p>
          <w:p w14:paraId="24971151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3、熟悉国际商务运行规则，有较强的谈判和沟通能力。</w:t>
            </w:r>
          </w:p>
          <w:p w14:paraId="79AC02FA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4、具有流利的英文听说和熟练的读写能力，能够与外商自如地交流沟通，洽谈项目；具有大学英语六级、全国国际商务英语中级或取得同等资质者优先。</w:t>
            </w:r>
          </w:p>
          <w:p w14:paraId="0A79FEF4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5、有高度的责任心，出色的协调沟通能力和管理能力，具备扎实文字功底。</w:t>
            </w:r>
          </w:p>
          <w:p w14:paraId="3793F30D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6、具有菲律宾工作经验、生活经历者优先考虑。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A3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高新区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94B7B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0596-2138265</w:t>
            </w:r>
          </w:p>
          <w:p w14:paraId="30B4BC7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zztyrlzygs@163.com</w:t>
            </w:r>
          </w:p>
        </w:tc>
      </w:tr>
      <w:tr w14:paraId="17CA7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8E425">
            <w:pPr>
              <w:widowControl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547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746"/>
                <w:spacing w:val="0"/>
                <w:sz w:val="22"/>
                <w:szCs w:val="22"/>
                <w:shd w:val="clear" w:fill="FFFFFF"/>
              </w:rPr>
              <w:t>包装工段辅助操作工</w:t>
            </w:r>
          </w:p>
        </w:tc>
        <w:tc>
          <w:tcPr>
            <w:tcW w:w="2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0EE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2ED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9AE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周岁</w:t>
            </w:r>
          </w:p>
          <w:p w14:paraId="39B96D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及以下</w:t>
            </w: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319A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初中以上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85090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44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不限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D6C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D9A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746"/>
                <w:spacing w:val="0"/>
                <w:sz w:val="22"/>
                <w:szCs w:val="22"/>
                <w:shd w:val="clear" w:fill="FFFFFF"/>
              </w:rPr>
              <w:t>20.5元/小时</w:t>
            </w:r>
          </w:p>
        </w:tc>
        <w:tc>
          <w:tcPr>
            <w:tcW w:w="1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440A2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责任心强，能吃苦耐劳，有良好的服从与执行能力，具有一年及以上化妆品生产工作经验者优先。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D312C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高新区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4062E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0596-2138265</w:t>
            </w:r>
          </w:p>
          <w:p w14:paraId="701F7F9B">
            <w:pPr>
              <w:pStyle w:val="2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zztyrlzygs@163.com</w:t>
            </w:r>
          </w:p>
        </w:tc>
      </w:tr>
    </w:tbl>
    <w:p w14:paraId="03E49793">
      <w:bookmarkStart w:id="0" w:name="_GoBack"/>
      <w:bookmarkEnd w:id="0"/>
    </w:p>
    <w:sectPr>
      <w:pgSz w:w="16838" w:h="11906" w:orient="landscape"/>
      <w:pgMar w:top="1123" w:right="873" w:bottom="1123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6FB3C9-6A07-4D6D-B55E-DA3EDAD0CC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15ED9FA-7CF0-45B1-84F5-02DDBBBFE17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F0FC1CF-EFD1-4428-8B02-CF1AD42263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C7B0A5D-7824-4D46-B8D6-AF8634CD690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D68AE"/>
    <w:multiLevelType w:val="multilevel"/>
    <w:tmpl w:val="C68D68A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3039C"/>
    <w:rsid w:val="3873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2024-12-06T03:30:00Z</dcterms:created>
  <dc:creator>Caring</dc:creator>
  <cp:lastModifiedBy>Caring</cp:lastModifiedBy>
  <dcterms:modified xsi:type="dcterms:W3CDTF">2024-12-06T03:32:06Z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8DC80BA460BA4D418435BEA963BC7568_11</vt:lpwstr>
  </property>
</Properties>
</file>