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2FF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14:paraId="5FE98C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漳州市交发工贸集团有限公司</w:t>
      </w:r>
    </w:p>
    <w:p w14:paraId="6D5D4B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诏安分公司市场化用工人员招聘</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公告</w:t>
      </w:r>
    </w:p>
    <w:p w14:paraId="21766E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05639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公司简介</w:t>
      </w:r>
    </w:p>
    <w:p w14:paraId="7D148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漳州市交发工贸集团有限公司诏安分公司</w:t>
      </w:r>
      <w:r>
        <w:rPr>
          <w:rFonts w:hint="eastAsia" w:ascii="仿宋" w:hAnsi="仿宋" w:eastAsia="仿宋" w:cs="仿宋"/>
          <w:color w:val="000000" w:themeColor="text1"/>
          <w:sz w:val="32"/>
          <w:szCs w:val="32"/>
          <w14:textFill>
            <w14:solidFill>
              <w14:schemeClr w14:val="tx1"/>
            </w14:solidFill>
          </w14:textFill>
        </w:rPr>
        <w:t>于20</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成立，</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漳州交通发展</w:t>
      </w:r>
      <w:r>
        <w:rPr>
          <w:rFonts w:hint="eastAsia" w:ascii="仿宋" w:hAnsi="仿宋" w:eastAsia="仿宋" w:cs="仿宋"/>
          <w:color w:val="000000" w:themeColor="text1"/>
          <w:sz w:val="32"/>
          <w:szCs w:val="32"/>
          <w14:textFill>
            <w14:solidFill>
              <w14:schemeClr w14:val="tx1"/>
            </w14:solidFill>
          </w14:textFill>
        </w:rPr>
        <w:t>集团有限公司下属</w:t>
      </w:r>
      <w:r>
        <w:rPr>
          <w:rFonts w:hint="eastAsia" w:ascii="仿宋" w:hAnsi="仿宋" w:eastAsia="仿宋" w:cs="仿宋"/>
          <w:color w:val="000000" w:themeColor="text1"/>
          <w:sz w:val="32"/>
          <w:szCs w:val="32"/>
          <w:lang w:val="en-US" w:eastAsia="zh-CN"/>
          <w14:textFill>
            <w14:solidFill>
              <w14:schemeClr w14:val="tx1"/>
            </w14:solidFill>
          </w14:textFill>
        </w:rPr>
        <w:t>漳州市交发工贸集团有限公司的分公司，主要负责诏安横山剩余土石方平整项目。</w:t>
      </w:r>
    </w:p>
    <w:p w14:paraId="653A4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二、项目简介</w:t>
      </w:r>
    </w:p>
    <w:p w14:paraId="2BA8D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诏安横山剩余土石方平整项目位于诏安县城66°方位(金星乡田朴村、院前村管辖),直距约9.0km处的横山一带,占地面积0.1866km²(约280亩)，项目场地平整剩余土石方量评估总储量约366万m³,其中花岗岩矿石（中风化粉砂岩）储量约153万m³,风化层砂包土（渣土）约213万m³。</w:t>
      </w:r>
    </w:p>
    <w:p w14:paraId="32FA5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三、招聘岗位及要求</w:t>
      </w:r>
    </w:p>
    <w:p w14:paraId="6B1A2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1.本次招聘岗位共6个，招聘人数共7人，具体条件详见《漳州市交发工贸集团有限公司诏安分公司市场化用工人员需求信息表》。</w:t>
      </w:r>
    </w:p>
    <w:p w14:paraId="2FD1B7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招聘岗位所需专业须以主修专业报名，学历学位证书所示专业名称应与报考岗位专业需求一致。专业目录以《福建省机关事业单位招考专业指导目录（2025）》《研究生招生学科、专业代码册（2022年9月）》为准。</w:t>
      </w:r>
    </w:p>
    <w:p w14:paraId="69644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3.应聘条件中年龄计算截止时间以招聘公告发布之日为界限计算。</w:t>
      </w:r>
    </w:p>
    <w:p w14:paraId="26BCA0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4.应聘人员的毕业证书、学位证书及相关专业资格证书必须在</w:t>
      </w:r>
      <w:r>
        <w:rPr>
          <w:rFonts w:hint="eastAsia" w:ascii="仿宋" w:hAnsi="仿宋" w:eastAsia="仿宋" w:cs="仿宋"/>
          <w:color w:val="auto"/>
          <w:sz w:val="32"/>
          <w:szCs w:val="32"/>
          <w:lang w:val="en-US" w:eastAsia="zh-CN"/>
        </w:rPr>
        <w:t>参加招聘</w:t>
      </w:r>
      <w:r>
        <w:rPr>
          <w:rFonts w:hint="eastAsia" w:ascii="仿宋" w:hAnsi="仿宋" w:eastAsia="仿宋" w:cs="仿宋"/>
          <w:color w:val="000000" w:themeColor="text1"/>
          <w:sz w:val="32"/>
          <w:szCs w:val="32"/>
          <w:lang w:val="en-US" w:eastAsia="zh-CN"/>
          <w14:textFill>
            <w14:solidFill>
              <w14:schemeClr w14:val="tx1"/>
            </w14:solidFill>
          </w14:textFill>
        </w:rPr>
        <w:t>岗位面试前取得。</w:t>
      </w:r>
    </w:p>
    <w:p w14:paraId="6F856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四、招聘条件</w:t>
      </w:r>
    </w:p>
    <w:p w14:paraId="7BEAB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（一）基本条件</w:t>
      </w:r>
    </w:p>
    <w:p w14:paraId="52566D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1.具有中华人民共和国国籍；</w:t>
      </w:r>
    </w:p>
    <w:p w14:paraId="4BA91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2.拥护中华人民共和国宪法，拥护中国共产党领导和社会主义制度；</w:t>
      </w:r>
    </w:p>
    <w:p w14:paraId="3CB14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3.具有良好的政治素质和道德品行；</w:t>
      </w:r>
    </w:p>
    <w:p w14:paraId="5D1C3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4.具有正常履行职责的身体条件，符合公务员录用体检标准；</w:t>
      </w:r>
    </w:p>
    <w:p w14:paraId="6EBB5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5.符合岗位要求的资格条件和工作能力。</w:t>
      </w:r>
    </w:p>
    <w:p w14:paraId="34469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（二）不得报名情形</w:t>
      </w:r>
    </w:p>
    <w:p w14:paraId="631B4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1.曾因犯罪受过刑事处罚的人员或曾被开除公职的人员；</w:t>
      </w:r>
    </w:p>
    <w:p w14:paraId="77A07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2.被开除中国共产党党籍的人员；</w:t>
      </w:r>
    </w:p>
    <w:p w14:paraId="470EE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3.尚未解除党纪、政纪处分或正在接受纪律审查的人员；</w:t>
      </w:r>
    </w:p>
    <w:p w14:paraId="614E6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4.涉嫌违法犯罪正在接受司法调查尚未做出结论的人员；</w:t>
      </w:r>
    </w:p>
    <w:p w14:paraId="47FD2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5.在各级各类公务员、事业单位、国企公开考试中因违规违纪行为被记入考生诚信档案，且记录期限未满人员；</w:t>
      </w:r>
    </w:p>
    <w:p w14:paraId="3488BC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6.法律法规、政策规定的其他情形；</w:t>
      </w:r>
    </w:p>
    <w:p w14:paraId="6E8D1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7.其他不适合从事招聘岗位条件工作的人员。</w:t>
      </w:r>
    </w:p>
    <w:p w14:paraId="49B2A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五、招聘程序和方法</w:t>
      </w:r>
    </w:p>
    <w:p w14:paraId="3B0135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（一）报名起止时间</w:t>
      </w:r>
    </w:p>
    <w:p w14:paraId="34ADD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_GB2312" w:cs="仿宋"/>
          <w:b/>
          <w:bCs/>
          <w:color w:val="auto"/>
          <w:sz w:val="32"/>
          <w:szCs w:val="32"/>
          <w:lang w:val="en-US" w:eastAsia="zh-CN"/>
        </w:rPr>
      </w:pPr>
      <w:r>
        <w:rPr>
          <w:rFonts w:hint="eastAsia" w:ascii="仿宋_GB2312" w:hAnsi="仿宋_GB2312" w:eastAsia="仿宋_GB2312" w:cs="仿宋_GB2312"/>
          <w:color w:val="auto"/>
          <w:kern w:val="0"/>
          <w:sz w:val="32"/>
          <w:szCs w:val="32"/>
        </w:rPr>
        <w:t>2025年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上午8：00至</w:t>
      </w:r>
      <w:r>
        <w:rPr>
          <w:rFonts w:hint="eastAsia" w:ascii="仿宋_GB2312" w:hAnsi="仿宋_GB2312" w:eastAsia="仿宋_GB2312" w:cs="仿宋_GB2312"/>
          <w:color w:val="auto"/>
          <w:kern w:val="0"/>
          <w:sz w:val="32"/>
          <w:szCs w:val="32"/>
        </w:rPr>
        <w:t>2025年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下午18:00（工作日期间报名）。</w:t>
      </w:r>
    </w:p>
    <w:p w14:paraId="0363A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auto"/>
          <w:sz w:val="32"/>
          <w:szCs w:val="32"/>
          <w:lang w:val="en-US" w:eastAsia="zh-CN"/>
        </w:rPr>
        <w:t>（二）报名方式及报名材</w:t>
      </w:r>
      <w:r>
        <w:rPr>
          <w:rFonts w:hint="eastAsia" w:ascii="仿宋" w:hAnsi="仿宋" w:eastAsia="仿宋" w:cs="仿宋"/>
          <w:b/>
          <w:bCs/>
          <w:color w:val="000000" w:themeColor="text1"/>
          <w:sz w:val="32"/>
          <w:szCs w:val="32"/>
          <w:lang w:val="en-US" w:eastAsia="zh-CN"/>
          <w14:textFill>
            <w14:solidFill>
              <w14:schemeClr w14:val="tx1"/>
            </w14:solidFill>
          </w14:textFill>
        </w:rPr>
        <w:t>料</w:t>
      </w:r>
    </w:p>
    <w:p w14:paraId="71330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1.报名方式：采取现场报名，符合条件的应聘者携带报名材料原件和复印</w:t>
      </w:r>
      <w:r>
        <w:rPr>
          <w:rFonts w:hint="eastAsia" w:ascii="仿宋" w:hAnsi="仿宋" w:eastAsia="仿宋" w:cs="仿宋"/>
          <w:color w:val="auto"/>
          <w:sz w:val="32"/>
          <w:szCs w:val="32"/>
          <w:lang w:val="en-US" w:eastAsia="zh-CN"/>
        </w:rPr>
        <w:t>件，并将复印件按顺序整理，到报名点提交材料。报名点：</w:t>
      </w:r>
      <w:r>
        <w:rPr>
          <w:rFonts w:hint="eastAsia" w:ascii="仿宋_GB2312" w:hAnsi="仿宋_GB2312" w:eastAsia="仿宋_GB2312" w:cs="仿宋_GB2312"/>
          <w:color w:val="auto"/>
          <w:kern w:val="0"/>
          <w:sz w:val="32"/>
          <w:szCs w:val="32"/>
        </w:rPr>
        <w:t>福建省漳州市龙</w:t>
      </w:r>
      <w:r>
        <w:rPr>
          <w:rFonts w:hint="eastAsia" w:ascii="仿宋_GB2312" w:hAnsi="仿宋_GB2312" w:eastAsia="仿宋_GB2312" w:cs="仿宋_GB2312"/>
          <w:color w:val="000000" w:themeColor="text1"/>
          <w:kern w:val="0"/>
          <w:sz w:val="32"/>
          <w:szCs w:val="32"/>
          <w14:textFill>
            <w14:solidFill>
              <w14:schemeClr w14:val="tx1"/>
            </w14:solidFill>
          </w14:textFill>
        </w:rPr>
        <w:t>海区九湖镇木棉村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后壁山439-3号交发工贸集团一楼党建人</w:t>
      </w:r>
      <w:r>
        <w:rPr>
          <w:rFonts w:hint="eastAsia" w:ascii="仿宋_GB2312" w:hAnsi="仿宋_GB2312" w:eastAsia="仿宋_GB2312" w:cs="仿宋_GB2312"/>
          <w:color w:val="auto"/>
          <w:kern w:val="0"/>
          <w:sz w:val="32"/>
          <w:szCs w:val="32"/>
          <w:lang w:val="en-US" w:eastAsia="zh-CN"/>
        </w:rPr>
        <w:t>事部</w:t>
      </w:r>
      <w:r>
        <w:rPr>
          <w:rFonts w:hint="eastAsia" w:ascii="仿宋" w:hAnsi="仿宋" w:eastAsia="仿宋" w:cs="仿宋"/>
          <w:color w:val="auto"/>
          <w:sz w:val="32"/>
          <w:szCs w:val="32"/>
          <w:highlight w:val="none"/>
          <w:lang w:val="en-US" w:eastAsia="zh-CN"/>
        </w:rPr>
        <w:t>(联系方式：18159713173)。</w:t>
      </w:r>
    </w:p>
    <w:p w14:paraId="6F59D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2.报名材料：</w:t>
      </w:r>
    </w:p>
    <w:p w14:paraId="78069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（1）应聘登记表(下载附件填写完整并附近期免冠照片，双面打印)；</w:t>
      </w:r>
    </w:p>
    <w:p w14:paraId="4BE50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（2）身份证正反面（复印件）；</w:t>
      </w:r>
    </w:p>
    <w:p w14:paraId="7C9528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（3）符合岗位要求的毕业证、学位证，学信网上认证的学历证明，取得境外学历学位证书的应聘者应同时提供由教育部留学服务中心出具的《国外学历学位认证书》；</w:t>
      </w:r>
    </w:p>
    <w:p w14:paraId="24FE6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（4）专业技术职称、职（执）业资格等相关证书。通过考试但未取得证书的，提供由相关部门出具的成绩单及是否通过考试的结论；</w:t>
      </w:r>
    </w:p>
    <w:p w14:paraId="269BA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（5）相关工作经历、工作经验的佐证材料。(提供聘任书或劳动合同、当地人社部门盖章的社保缴交证明、所在单位人事部门提供的具体岗位工作证明等相关佐证材料)。</w:t>
      </w:r>
    </w:p>
    <w:p w14:paraId="2B4C83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3.应聘者所填报的报名信息、联系方式应当准确无误，确保通信顺畅，如因联系方式有误等原因而影响招聘面试的，后果由应聘者自行负责。</w:t>
      </w:r>
    </w:p>
    <w:p w14:paraId="041EBB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（三）资格审查</w:t>
      </w:r>
    </w:p>
    <w:p w14:paraId="2F31D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1.资格初审。交发工贸集团将对应聘者的报名材料进行资格初审，资格初审合格的取得面试资格（资格初审结果将在应聘者报名当天告知，对资格初审有异议或需要补交报名材料的，须在2025年8月21日18:00前提交</w:t>
      </w:r>
      <w:r>
        <w:rPr>
          <w:rFonts w:hint="eastAsia" w:ascii="仿宋" w:hAnsi="仿宋" w:eastAsia="仿宋" w:cs="仿宋"/>
          <w:color w:val="auto"/>
          <w:sz w:val="32"/>
          <w:szCs w:val="32"/>
          <w:lang w:val="en-US" w:eastAsia="zh-CN"/>
        </w:rPr>
        <w:t>，逾期不予受理）。</w:t>
      </w:r>
    </w:p>
    <w:p w14:paraId="6BCD3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资格复审。在面试结束确定拟聘用人选后进行资格复审（资格复审结果一般将在当天告知面试者，对资格复审有异议或需要补交材料的，须在资格复审当天18:00前提交，逾期不予受理，资格复审不通过或放弃资格复审的，可在同一岗位面试合格中按面试成绩由高到低依次递补）。</w:t>
      </w:r>
    </w:p>
    <w:p w14:paraId="365F40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应聘者应认真阅读本次公开招聘工作的有关规定，核对本岗位招聘条件，对所提供的资料与招聘岗位条件设置要求是否相符自行判断。资格审查贯穿全招聘流程，应聘者提交的报名信息应当真实、准确，提供虚假信息的，一经查实，即取消面试（聘用）资格。</w:t>
      </w:r>
    </w:p>
    <w:p w14:paraId="22D30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（四）面试</w:t>
      </w:r>
    </w:p>
    <w:p w14:paraId="3709B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1.采用非结构化面试方式，面试不设置最低人数门槛。</w:t>
      </w:r>
    </w:p>
    <w:p w14:paraId="3E8EF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2.面试成绩总分为100分，合格分为70分，未达合格分者不予聘用。</w:t>
      </w:r>
    </w:p>
    <w:p w14:paraId="2C543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3.面试成绩按面试评委去掉一个最高分、一个最低分后的平均值四舍五入保留至小数点后两位确定。</w:t>
      </w:r>
    </w:p>
    <w:p w14:paraId="473F6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4.面试的时间、地点另行通知。</w:t>
      </w:r>
    </w:p>
    <w:p w14:paraId="32963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（五）确定拟聘用人员</w:t>
      </w:r>
    </w:p>
    <w:p w14:paraId="48FB7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t>拟聘用人选名单以岗位招聘人数1:1比例，从面试成绩合格线以上人员中从高分到低分排名确定。若面试成绩出现相同的，采取加题面试的方式确定拟聘用人选。若有放弃拟聘用人选资格的，可在面试成绩达到合格线并通过资格复审的应聘人员中，按面试成绩由高分到低分依次递补。</w:t>
      </w:r>
    </w:p>
    <w:p w14:paraId="04693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（六）体检和政审</w:t>
      </w:r>
    </w:p>
    <w:p w14:paraId="2BE488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t>1.体检：按照有关规定组织拟聘用人选进行体检，体检标准参照公务员录用体检标准执行。体检费用由应聘人员自理。拟聘用人员对体检结果有异议的，必须在5个工作日内提出复检申请；可视情况组织复检，并以复检结果为最终体检结论。</w:t>
      </w:r>
    </w:p>
    <w:p w14:paraId="319A08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8"/>
          <w:kern w:val="0"/>
          <w:sz w:val="32"/>
          <w:szCs w:val="32"/>
          <w:highlight w:val="none"/>
          <w:u w:val="none"/>
          <w:shd w:val="clear" w:color="auto" w:fill="auto"/>
          <w:lang w:val="en-US" w:eastAsia="zh-CN" w:bidi="ar"/>
          <w14:textFill>
            <w14:solidFill>
              <w14:schemeClr w14:val="tx1"/>
            </w14:solidFill>
          </w14:textFill>
        </w:rPr>
        <w:t>2.政审:由交发工贸集团对体检合格的拟聘用人选进行审核，应聘人员需提供无犯罪记录证明、个人征信证明、无失信证明及交发工贸集团要求提供的相关材料，如发现弄虚作假情节或存在不得录用的问题，取消其录用资格。</w:t>
      </w:r>
    </w:p>
    <w:p w14:paraId="3F5E8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（七）公示与聘用</w:t>
      </w:r>
    </w:p>
    <w:p w14:paraId="2A6F3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拟聘用人员名单通过漳州市交通发展集团有限公司官网进行公示，公示期为五个工作日。公示无异议后按有关规定和程序办理聘用手续。</w:t>
      </w:r>
    </w:p>
    <w:p w14:paraId="6FD44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六、薪酬待遇</w:t>
      </w:r>
    </w:p>
    <w:p w14:paraId="0FAAB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市场化用工人员实施以业绩为导向的市场化薪酬机制，薪酬待遇按公司相关规定执行，与业绩考核结果挂钩。</w:t>
      </w:r>
    </w:p>
    <w:p w14:paraId="6D6DF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七、其他</w:t>
      </w:r>
    </w:p>
    <w:p w14:paraId="4C4B48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1.应聘者所提供的个人信息资料不退还，公司将予以妥善保管。</w:t>
      </w:r>
    </w:p>
    <w:p w14:paraId="12ECA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2.应聘者须确保本人手机畅通，以免招聘信息无法接收。凡因应聘者个人原因导致无法联络本人及未在规定时间、地点参加资格审查或面试的视为自动放弃。</w:t>
      </w:r>
    </w:p>
    <w:p w14:paraId="40A8A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未按要求参加体检或体检不合格的、政审不合格的、公示结果影响聘用的、在规定时间内无正当理由不按时报到的，将取消聘用资格。由于上述原因出现的岗位空缺或拟聘用人选主动放弃的，依据同一岗位面试合格且通过资格复审人员的面试成绩由高到低依次递补，递补人员需严格履行体检、政审、公示等有关程序。</w:t>
      </w:r>
    </w:p>
    <w:p w14:paraId="24E78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4.未尽事宜，以漳州市交发工贸集团有限公司党建人事部解释为准。</w:t>
      </w:r>
    </w:p>
    <w:p w14:paraId="002C45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八、联系方式</w:t>
      </w:r>
    </w:p>
    <w:p w14:paraId="511DF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1.联系部门：漳州市交发工贸集团有限公司党建人事部</w:t>
      </w:r>
    </w:p>
    <w:p w14:paraId="2E5E0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2.联系电话：18159713173</w:t>
      </w:r>
    </w:p>
    <w:p w14:paraId="0715C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咨询时间：法定工作日（星期一至星期五）</w:t>
      </w:r>
    </w:p>
    <w:p w14:paraId="2E847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bookmarkStart w:id="0" w:name="_GoBack"/>
      <w:r>
        <w:rPr>
          <w:rFonts w:hint="eastAsia" w:ascii="仿宋" w:hAnsi="仿宋" w:eastAsia="仿宋" w:cs="仿宋"/>
          <w:color w:val="auto"/>
          <w:sz w:val="32"/>
          <w:szCs w:val="32"/>
          <w:lang w:val="en-US" w:eastAsia="zh-CN"/>
        </w:rPr>
        <w:t>上午：08:30至12:00</w:t>
      </w:r>
    </w:p>
    <w:p w14:paraId="4C5F4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下午：14:30至18:00</w:t>
      </w:r>
    </w:p>
    <w:bookmarkEnd w:id="0"/>
    <w:p w14:paraId="6E8202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3.联系地址：</w:t>
      </w:r>
      <w:r>
        <w:rPr>
          <w:rFonts w:hint="eastAsia" w:ascii="仿宋_GB2312" w:hAnsi="仿宋_GB2312" w:eastAsia="仿宋_GB2312" w:cs="仿宋_GB2312"/>
          <w:color w:val="000000" w:themeColor="text1"/>
          <w:kern w:val="0"/>
          <w:sz w:val="32"/>
          <w:szCs w:val="32"/>
          <w14:textFill>
            <w14:solidFill>
              <w14:schemeClr w14:val="tx1"/>
            </w14:solidFill>
          </w14:textFill>
        </w:rPr>
        <w:t>福建省漳州市龙海区九湖镇木棉村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后壁山439-3号交发工贸集团一楼党建人事部。</w:t>
      </w:r>
    </w:p>
    <w:p w14:paraId="570DF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14:paraId="74014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附件：1.</w:t>
      </w:r>
      <w:r>
        <w:rPr>
          <w:rFonts w:hint="eastAsia" w:ascii="仿宋" w:hAnsi="仿宋" w:eastAsia="仿宋" w:cs="仿宋"/>
          <w:color w:val="000000" w:themeColor="text1"/>
          <w:sz w:val="32"/>
          <w:szCs w:val="32"/>
          <w:lang w:val="en-US" w:eastAsia="zh-CN"/>
          <w14:textFill>
            <w14:solidFill>
              <w14:schemeClr w14:val="tx1"/>
            </w14:solidFill>
          </w14:textFill>
        </w:rPr>
        <w:t>漳州市交发工贸集团有限公司诏安分公司市场化用工人员需求信息表</w:t>
      </w:r>
    </w:p>
    <w:p w14:paraId="3E250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2.应聘登记表</w:t>
      </w:r>
    </w:p>
    <w:p w14:paraId="1584C7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5ED065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7EAA9A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3D159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漳州市交发工贸集团有限公司</w:t>
      </w:r>
    </w:p>
    <w:p w14:paraId="5832D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2025年8月11日</w:t>
      </w:r>
    </w:p>
    <w:p w14:paraId="292C794C">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51A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FAFE2">
                          <w:pPr>
                            <w:pStyle w:val="5"/>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fldChar w:fldCharType="begin"/>
                          </w:r>
                          <w:r>
                            <w:rPr>
                              <w:rFonts w:hint="eastAsia" w:ascii="仿宋" w:hAnsi="仿宋" w:eastAsia="仿宋" w:cs="仿宋"/>
                              <w:b w:val="0"/>
                              <w:bCs w:val="0"/>
                              <w:color w:val="000000" w:themeColor="text1"/>
                              <w:sz w:val="24"/>
                              <w14:textFill>
                                <w14:solidFill>
                                  <w14:schemeClr w14:val="tx1"/>
                                </w14:solidFill>
                              </w14:textFill>
                            </w:rPr>
                            <w:instrText xml:space="preserve"> PAGE  \* MERGEFORMAT </w:instrText>
                          </w:r>
                          <w:r>
                            <w:rPr>
                              <w:rFonts w:hint="eastAsia" w:ascii="仿宋" w:hAnsi="仿宋" w:eastAsia="仿宋" w:cs="仿宋"/>
                              <w:b w:val="0"/>
                              <w:bCs w:val="0"/>
                              <w:color w:val="000000" w:themeColor="text1"/>
                              <w:sz w:val="24"/>
                              <w14:textFill>
                                <w14:solidFill>
                                  <w14:schemeClr w14:val="tx1"/>
                                </w14:solidFill>
                              </w14:textFill>
                            </w:rPr>
                            <w:fldChar w:fldCharType="separate"/>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FAFE2">
                    <w:pPr>
                      <w:pStyle w:val="5"/>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fldChar w:fldCharType="begin"/>
                    </w:r>
                    <w:r>
                      <w:rPr>
                        <w:rFonts w:hint="eastAsia" w:ascii="仿宋" w:hAnsi="仿宋" w:eastAsia="仿宋" w:cs="仿宋"/>
                        <w:b w:val="0"/>
                        <w:bCs w:val="0"/>
                        <w:color w:val="000000" w:themeColor="text1"/>
                        <w:sz w:val="24"/>
                        <w14:textFill>
                          <w14:solidFill>
                            <w14:schemeClr w14:val="tx1"/>
                          </w14:solidFill>
                        </w14:textFill>
                      </w:rPr>
                      <w:instrText xml:space="preserve"> PAGE  \* MERGEFORMAT </w:instrText>
                    </w:r>
                    <w:r>
                      <w:rPr>
                        <w:rFonts w:hint="eastAsia" w:ascii="仿宋" w:hAnsi="仿宋" w:eastAsia="仿宋" w:cs="仿宋"/>
                        <w:b w:val="0"/>
                        <w:bCs w:val="0"/>
                        <w:color w:val="000000" w:themeColor="text1"/>
                        <w:sz w:val="24"/>
                        <w14:textFill>
                          <w14:solidFill>
                            <w14:schemeClr w14:val="tx1"/>
                          </w14:solidFill>
                        </w14:textFill>
                      </w:rPr>
                      <w:fldChar w:fldCharType="separate"/>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72B52"/>
    <w:rsid w:val="045D0AA2"/>
    <w:rsid w:val="05D435B9"/>
    <w:rsid w:val="064E4B23"/>
    <w:rsid w:val="07F322BD"/>
    <w:rsid w:val="095347F5"/>
    <w:rsid w:val="09637006"/>
    <w:rsid w:val="0AC736EC"/>
    <w:rsid w:val="0BC67500"/>
    <w:rsid w:val="0C540FAF"/>
    <w:rsid w:val="0D847672"/>
    <w:rsid w:val="0E505DAB"/>
    <w:rsid w:val="119B4F8B"/>
    <w:rsid w:val="127001C5"/>
    <w:rsid w:val="151439D2"/>
    <w:rsid w:val="19461C80"/>
    <w:rsid w:val="19A846E9"/>
    <w:rsid w:val="1AE41750"/>
    <w:rsid w:val="1D5D716E"/>
    <w:rsid w:val="1D951428"/>
    <w:rsid w:val="1E8F5E77"/>
    <w:rsid w:val="1EF14CD0"/>
    <w:rsid w:val="216D08D2"/>
    <w:rsid w:val="23EE3640"/>
    <w:rsid w:val="24DA7811"/>
    <w:rsid w:val="27E40FE2"/>
    <w:rsid w:val="2A2715E7"/>
    <w:rsid w:val="2A667D2B"/>
    <w:rsid w:val="2C5D4570"/>
    <w:rsid w:val="2DFA397D"/>
    <w:rsid w:val="34EE524E"/>
    <w:rsid w:val="37865C12"/>
    <w:rsid w:val="37A60062"/>
    <w:rsid w:val="386F2B4A"/>
    <w:rsid w:val="38E01351"/>
    <w:rsid w:val="397808AE"/>
    <w:rsid w:val="40CB55B6"/>
    <w:rsid w:val="42BB1B2E"/>
    <w:rsid w:val="43D366C6"/>
    <w:rsid w:val="4C644921"/>
    <w:rsid w:val="4E8445F1"/>
    <w:rsid w:val="52FF2882"/>
    <w:rsid w:val="544F3B03"/>
    <w:rsid w:val="561B7A15"/>
    <w:rsid w:val="56206DD9"/>
    <w:rsid w:val="57802226"/>
    <w:rsid w:val="59D04678"/>
    <w:rsid w:val="5BD448EE"/>
    <w:rsid w:val="5C2C64D8"/>
    <w:rsid w:val="5C384E7D"/>
    <w:rsid w:val="5E251286"/>
    <w:rsid w:val="5FEE1767"/>
    <w:rsid w:val="6043407E"/>
    <w:rsid w:val="6132538C"/>
    <w:rsid w:val="64F34037"/>
    <w:rsid w:val="6623538A"/>
    <w:rsid w:val="67755807"/>
    <w:rsid w:val="69CC4E56"/>
    <w:rsid w:val="6A0E73BD"/>
    <w:rsid w:val="6AA72B52"/>
    <w:rsid w:val="6AE83F12"/>
    <w:rsid w:val="6EA42846"/>
    <w:rsid w:val="73AD3047"/>
    <w:rsid w:val="73EA0CFB"/>
    <w:rsid w:val="760C26AA"/>
    <w:rsid w:val="79510295"/>
    <w:rsid w:val="7C5F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0" w:beforeLines="0" w:beforeAutospacing="0" w:after="0" w:afterLines="0" w:afterAutospacing="0" w:line="560" w:lineRule="exact"/>
      <w:ind w:firstLine="880" w:firstLineChars="200"/>
      <w:outlineLvl w:val="2"/>
    </w:pPr>
    <w:rPr>
      <w:rFonts w:ascii="等线" w:hAnsi="等线" w:eastAsia="仿宋"/>
      <w:sz w:val="32"/>
      <w:szCs w:val="22"/>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customStyle="1" w:styleId="4">
    <w:name w:val="样式 标题 3 + (中文) 黑体 小四 非加粗 段前: 7.8 磅 段后: 0 磅 行距: 固定值 20 磅"/>
    <w:basedOn w:val="2"/>
    <w:qFormat/>
    <w:uiPriority w:val="0"/>
    <w:pPr>
      <w:adjustRightInd/>
      <w:spacing w:before="0" w:beforeLines="0" w:after="0" w:afterLines="0" w:line="400" w:lineRule="exact"/>
      <w:textAlignment w:val="auto"/>
    </w:pPr>
    <w:rPr>
      <w:rFonts w:eastAsia="黑体" w:cs="宋体"/>
      <w:kern w:val="2"/>
      <w:sz w:val="24"/>
      <w:szCs w:val="20"/>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semiHidden/>
    <w:unhideWhenUsed/>
    <w:qFormat/>
    <w:uiPriority w:val="99"/>
    <w:pPr>
      <w:spacing w:after="120"/>
      <w:ind w:left="420" w:leftChars="200"/>
    </w:pPr>
    <w:rPr>
      <w:sz w:val="16"/>
      <w:szCs w:val="16"/>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10"/>
    <w:unhideWhenUsed/>
    <w:qFormat/>
    <w:uiPriority w:val="99"/>
    <w:pPr>
      <w:ind w:firstLine="420" w:firstLineChars="200"/>
    </w:pPr>
  </w:style>
  <w:style w:type="paragraph" w:customStyle="1" w:styleId="10">
    <w:name w:val="样式 标题 3 + (中文) 黑体 小四 非加粗 段前: 7.8 磅 段后: 0 磅 行距: 固定值 20 磅_0"/>
    <w:basedOn w:val="11"/>
    <w:qFormat/>
    <w:uiPriority w:val="0"/>
    <w:pPr>
      <w:spacing w:before="0" w:beforeLines="0" w:after="0" w:afterLines="0" w:line="400" w:lineRule="exact"/>
    </w:pPr>
    <w:rPr>
      <w:rFonts w:ascii="Times New Roman" w:hAnsi="Times New Roman" w:eastAsia="黑体" w:cs="宋体"/>
      <w:b w:val="0"/>
      <w:bCs w:val="0"/>
      <w:sz w:val="21"/>
      <w:szCs w:val="20"/>
    </w:rPr>
  </w:style>
  <w:style w:type="paragraph" w:customStyle="1" w:styleId="11">
    <w:name w:val="标题 3_0"/>
    <w:basedOn w:val="12"/>
    <w:next w:val="13"/>
    <w:unhideWhenUsed/>
    <w:qFormat/>
    <w:uiPriority w:val="0"/>
    <w:pPr>
      <w:keepNext/>
      <w:keepLines/>
      <w:spacing w:before="260" w:beforeLines="0" w:after="260" w:afterLines="0" w:line="416" w:lineRule="auto"/>
      <w:outlineLvl w:val="2"/>
    </w:pPr>
    <w:rPr>
      <w:b/>
      <w:bCs/>
      <w:sz w:val="32"/>
      <w:szCs w:val="32"/>
    </w:rPr>
  </w:style>
  <w:style w:type="paragraph" w:customStyle="1" w:styleId="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0"/>
    <w:basedOn w:val="14"/>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1"/>
    <w:basedOn w:val="15"/>
    <w:next w:val="9"/>
    <w:qFormat/>
    <w:uiPriority w:val="0"/>
    <w:pPr>
      <w:widowControl w:val="0"/>
      <w:jc w:val="both"/>
    </w:pPr>
    <w:rPr>
      <w:kern w:val="2"/>
      <w:sz w:val="21"/>
      <w:szCs w:val="22"/>
      <w:lang w:val="en-US" w:eastAsia="zh-CN" w:bidi="ar-SA"/>
    </w:rPr>
  </w:style>
  <w:style w:type="paragraph" w:customStyle="1" w:styleId="15">
    <w:name w:val="正文_2"/>
    <w:basedOn w:val="16"/>
    <w:next w:val="9"/>
    <w:qFormat/>
    <w:uiPriority w:val="0"/>
    <w:pPr>
      <w:widowControl w:val="0"/>
      <w:jc w:val="both"/>
    </w:pPr>
    <w:rPr>
      <w:kern w:val="2"/>
      <w:sz w:val="21"/>
      <w:szCs w:val="22"/>
      <w:lang w:val="en-US" w:eastAsia="zh-CN" w:bidi="ar-SA"/>
    </w:rPr>
  </w:style>
  <w:style w:type="paragraph" w:customStyle="1" w:styleId="16">
    <w:name w:val="正文_0_1"/>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首行缩进 2_1"/>
    <w:basedOn w:val="18"/>
    <w:next w:val="20"/>
    <w:unhideWhenUsed/>
    <w:qFormat/>
    <w:uiPriority w:val="99"/>
    <w:pPr>
      <w:ind w:firstLine="420" w:firstLineChars="200"/>
    </w:pPr>
    <w:rPr>
      <w:rFonts w:ascii="Calibri" w:hAnsi="Calibri" w:eastAsia="宋体"/>
    </w:rPr>
  </w:style>
  <w:style w:type="paragraph" w:customStyle="1" w:styleId="18">
    <w:name w:val="正文文本缩进_2"/>
    <w:basedOn w:val="19"/>
    <w:qFormat/>
    <w:uiPriority w:val="0"/>
    <w:pPr>
      <w:widowControl/>
      <w:spacing w:line="500" w:lineRule="exact"/>
      <w:ind w:firstLine="567"/>
    </w:pPr>
    <w:rPr>
      <w:rFonts w:ascii="宋体"/>
      <w:kern w:val="0"/>
      <w:sz w:val="28"/>
      <w:szCs w:val="20"/>
    </w:rPr>
  </w:style>
  <w:style w:type="paragraph" w:customStyle="1" w:styleId="1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标题 3 + (中文) 黑体 小四 非加粗 段前: 7.8 磅 段后: 0 磅 行距: 固定值 20 磅_0_1"/>
    <w:basedOn w:val="21"/>
    <w:qFormat/>
    <w:uiPriority w:val="0"/>
    <w:pPr>
      <w:spacing w:before="0" w:beforeLines="0" w:after="0" w:afterLines="0" w:line="400" w:lineRule="exact"/>
    </w:pPr>
    <w:rPr>
      <w:rFonts w:eastAsia="黑体" w:cs="宋体"/>
      <w:b w:val="0"/>
      <w:bCs w:val="0"/>
      <w:sz w:val="21"/>
      <w:szCs w:val="20"/>
    </w:rPr>
  </w:style>
  <w:style w:type="paragraph" w:customStyle="1" w:styleId="21">
    <w:name w:val="标题 3_0_0_1"/>
    <w:basedOn w:val="22"/>
    <w:next w:val="22"/>
    <w:unhideWhenUsed/>
    <w:qFormat/>
    <w:uiPriority w:val="0"/>
    <w:pPr>
      <w:keepNext/>
      <w:keepLines/>
      <w:spacing w:before="260" w:beforeLines="0" w:after="260" w:afterLines="0" w:line="416" w:lineRule="auto"/>
      <w:outlineLvl w:val="2"/>
    </w:pPr>
    <w:rPr>
      <w:rFonts w:eastAsia="仿宋_GB2312"/>
      <w:b/>
      <w:bCs/>
      <w:sz w:val="32"/>
      <w:szCs w:val="32"/>
    </w:rPr>
  </w:style>
  <w:style w:type="paragraph" w:customStyle="1" w:styleId="22">
    <w:name w:val="正文_0_0_0_1_1"/>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_0_0_0_1"/>
    <w:basedOn w:val="24"/>
    <w:next w:val="22"/>
    <w:qFormat/>
    <w:uiPriority w:val="0"/>
    <w:pPr>
      <w:widowControl/>
      <w:ind w:firstLine="420"/>
      <w:jc w:val="left"/>
    </w:pPr>
    <w:rPr>
      <w:sz w:val="20"/>
    </w:rPr>
  </w:style>
  <w:style w:type="paragraph" w:customStyle="1" w:styleId="24">
    <w:name w:val="正文_1_0_0_0_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2617</Words>
  <Characters>2771</Characters>
  <Lines>0</Lines>
  <Paragraphs>0</Paragraphs>
  <TotalTime>67</TotalTime>
  <ScaleCrop>false</ScaleCrop>
  <LinksUpToDate>false</LinksUpToDate>
  <CharactersWithSpaces>2771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2025-07-23T04:09:00Z</dcterms:created>
  <dc:creator>放下我的小姐姐</dc:creator>
  <cp:lastModifiedBy>放下我的小姐姐</cp:lastModifiedBy>
  <cp:lastPrinted>2025-08-11T07:21:13Z</cp:lastPrinted>
  <dcterms:modified xsi:type="dcterms:W3CDTF">2025-08-11T07:35:38Z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378E130009754C12BA88B8ED82E7A8F1_11</vt:lpwstr>
  </property>
  <property fmtid="{D5CDD505-2E9C-101B-9397-08002B2CF9AE}" pid="4" name="KSOTemplateDocerSaveRecord">
    <vt:lpwstr>eyJoZGlkIjoiNTEzMDFiNWJjMzVjY2IwZDM1ZDZkNjVhZTliOTJkMGUiLCJ1c2VySWQiOiI1NDc4MTE1OTEifQ==</vt:lpwstr>
  </property>
</Properties>
</file>