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jc w:val="left"/>
        <w:rPr>
          <w:rFonts w:hint="eastAsia"/>
        </w:rPr>
      </w:pPr>
      <w:r>
        <w:rPr>
          <w:rFonts w:hint="eastAsia"/>
          <w:b w:val="0"/>
          <w:bCs w:val="0"/>
        </w:rPr>
        <w:t>附件1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>福建片仔癀健康科技有限公司市场总监薪酬与任期目标约定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51"/>
        <w:gridCol w:w="3822"/>
        <w:gridCol w:w="3705"/>
        <w:gridCol w:w="4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选聘岗位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招聘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382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核心职责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薪酬范围和薪酬结构</w:t>
            </w:r>
          </w:p>
        </w:tc>
        <w:tc>
          <w:tcPr>
            <w:tcW w:w="472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任期经营业绩目标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5" w:hRule="atLeast"/>
        </w:trPr>
        <w:tc>
          <w:tcPr>
            <w:tcW w:w="84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市场总监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82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1.战略规划落地：依公司战略，组织制定年度产品及市场战略并推动落地；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2.营销策略执行：落实年度市场营销策略与计划，统筹各渠道营销方案，打造样板工程并推广；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3.渠道建设：制定主流渠道营销策略，建立并维护数字化营销体系等，探索试点新渠道模式；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4.产品管理：结合对市场需求挖掘、产品价值体系构建，开展产品全生命周期管理和竞争策略优化，进行产品优化和新品打造；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5.市场分析：组织市场研究，分析医药行业动态，制定竞争策略；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6.品牌管理：执行品牌策略和营销活动，稳固品牌市场地位；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7.团队管理：负责市场团队建设、日常管理，完善部门组织架构；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8.其他职责：高效完成上级交办的其他重要工作任务。</w:t>
            </w:r>
          </w:p>
        </w:tc>
        <w:tc>
          <w:tcPr>
            <w:tcW w:w="3705" w:type="dxa"/>
            <w:vAlign w:val="center"/>
          </w:tcPr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1.薪酬范围：年薪60万元/年（税前，不含任期激励），最终金额结合考核情况确定；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2.薪酬结构：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①基础薪酬（40%），按月发放；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②季度绩效（20%），以季度绩效薪酬基数（按年计算）÷12×80%平均分摊到月预发，每季度第二个月核算上个季度的季度绩效薪酬，并按差额多退少补；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③年度绩效薪酬（40%）：年度绩效薪酬在次年第一季度发放，年度绩效薪酬=年度绩效基数×实际年度考核得分÷100；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④每年任期激励为每年年薪的10%。任期激励在任期考核结束后根据任期考核系数核算发放金额，按照40%、30%、30%的比例逐年发放。</w:t>
            </w:r>
          </w:p>
        </w:tc>
        <w:tc>
          <w:tcPr>
            <w:tcW w:w="4726" w:type="dxa"/>
            <w:vAlign w:val="center"/>
          </w:tcPr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1.市场策略：承接公司战略，每年3月底前完成《年度商业计划书》，获得公司总办会审批通过，计划执行率70%以上；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2.渠道建设：根据公司营销渠道策略，3年聘期内完成数字化营销体系建设；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3.新品引进：3年聘期内完成不少于2个产品的引进上市，丰富公司产品线，新品引进第一年达到公司系列品种营收占比3%，年复合增长率不低于15%；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4.年度市场研究报告：每年定期组织市场研究，形成不少于2份行业动态报告，信息准确且无延误，为公司提供决策依据；</w:t>
            </w:r>
          </w:p>
          <w:p>
            <w:pPr>
              <w:widowControl/>
              <w:spacing w:after="0" w:line="320" w:lineRule="exact"/>
              <w:ind w:firstLine="0" w:firstLineChars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5.明星产品打造：3年聘期内打造1-2个中成药相关类目当中份额前五名的产品；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6.人才梯队建设：规划人才培养路径，制定技术指导方案，并完成关键人才储备；任期到期时，经理级以上关键人才保留率70%以上，同时储备产品经理不少于2名。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Y2E5MmM5YmY2ZjY5MzQ0MDFjZjcwZTI5OTIxNTcifQ=="/>
  </w:docVars>
  <w:rsids>
    <w:rsidRoot w:val="1E69784A"/>
    <w:rsid w:val="1E69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ind w:firstLine="643"/>
      <w:outlineLvl w:val="0"/>
    </w:pPr>
    <w:rPr>
      <w:rFonts w:ascii="黑体" w:hAnsi="黑体" w:eastAsia="黑体"/>
      <w:b/>
      <w:bCs/>
      <w:kern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2025-09-12T08:47:00Z</dcterms:created>
  <dc:creator>林梦婷</dc:creator>
  <cp:lastModifiedBy>林梦婷</cp:lastModifiedBy>
  <dcterms:modified xsi:type="dcterms:W3CDTF">2025-09-12T08:49:45Z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013D7478D7904BA18E508BF3B9ED6156_11</vt:lpwstr>
  </property>
</Properties>
</file>